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38" w:rsidRPr="009F7921" w:rsidRDefault="00225ABD" w:rsidP="00225ABD">
      <w:pPr>
        <w:spacing w:line="360" w:lineRule="auto"/>
        <w:jc w:val="center"/>
        <w:rPr>
          <w:rFonts w:ascii="宋体" w:eastAsia="宋体" w:hAnsi="宋体" w:cs="宋体"/>
          <w:b/>
          <w:bCs/>
          <w:snapToGrid w:val="0"/>
          <w:color w:val="000000"/>
          <w:kern w:val="0"/>
          <w:sz w:val="36"/>
          <w:szCs w:val="36"/>
        </w:rPr>
      </w:pPr>
      <w:proofErr w:type="gramStart"/>
      <w:r w:rsidRPr="009F7921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  <w:t>《</w:t>
      </w:r>
      <w:proofErr w:type="gramEnd"/>
      <w:r w:rsidRPr="009F7921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  <w:t>已上市化学药品药学变更研究</w:t>
      </w:r>
    </w:p>
    <w:p w:rsidR="00A64D04" w:rsidRPr="009F7921" w:rsidRDefault="00225ABD" w:rsidP="00225ABD">
      <w:pPr>
        <w:spacing w:line="360" w:lineRule="auto"/>
        <w:jc w:val="center"/>
        <w:rPr>
          <w:rFonts w:ascii="宋体" w:eastAsia="宋体" w:hAnsi="宋体" w:cs="宋体"/>
          <w:b/>
          <w:bCs/>
          <w:snapToGrid w:val="0"/>
          <w:color w:val="000000"/>
          <w:kern w:val="0"/>
          <w:sz w:val="36"/>
          <w:szCs w:val="36"/>
        </w:rPr>
      </w:pPr>
      <w:r w:rsidRPr="009F7921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  <w:t>技术指导原则</w:t>
      </w:r>
      <w:proofErr w:type="gramStart"/>
      <w:r w:rsidRPr="009F7921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  <w:t>》</w:t>
      </w:r>
      <w:proofErr w:type="gramEnd"/>
      <w:r w:rsidR="008A1294" w:rsidRPr="009F7921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  <w:t>起草说明</w:t>
      </w:r>
    </w:p>
    <w:p w:rsidR="0075045A" w:rsidRPr="00225ABD" w:rsidRDefault="0075045A" w:rsidP="00225ABD">
      <w:pPr>
        <w:spacing w:line="360" w:lineRule="auto"/>
        <w:jc w:val="center"/>
        <w:rPr>
          <w:rFonts w:ascii="仿宋_GB2312" w:eastAsia="仿宋_GB2312" w:hAnsiTheme="minorEastAsia" w:cs="宋体"/>
          <w:b/>
          <w:bCs/>
          <w:color w:val="000000"/>
          <w:spacing w:val="8"/>
          <w:kern w:val="0"/>
          <w:sz w:val="32"/>
          <w:szCs w:val="32"/>
        </w:rPr>
      </w:pPr>
    </w:p>
    <w:p w:rsidR="00042D1B" w:rsidRPr="00042D1B" w:rsidRDefault="00042D1B" w:rsidP="00042D1B">
      <w:pPr>
        <w:spacing w:line="360" w:lineRule="auto"/>
        <w:ind w:left="598"/>
        <w:rPr>
          <w:rFonts w:ascii="仿宋_GB2312" w:eastAsia="仿宋_GB2312" w:hAnsiTheme="minorEastAsia" w:cs="宋体"/>
          <w:b/>
          <w:bCs/>
          <w:color w:val="000000"/>
          <w:spacing w:val="8"/>
          <w:kern w:val="0"/>
          <w:sz w:val="28"/>
          <w:szCs w:val="28"/>
        </w:rPr>
      </w:pPr>
      <w:r w:rsidRPr="00042D1B">
        <w:rPr>
          <w:rFonts w:ascii="仿宋_GB2312" w:eastAsia="仿宋_GB2312" w:hAnsiTheme="minorEastAsia" w:cs="宋体" w:hint="eastAsia"/>
          <w:b/>
          <w:bCs/>
          <w:color w:val="000000"/>
          <w:spacing w:val="8"/>
          <w:kern w:val="0"/>
          <w:sz w:val="28"/>
          <w:szCs w:val="28"/>
        </w:rPr>
        <w:t>1、起草目的</w:t>
      </w:r>
    </w:p>
    <w:p w:rsidR="009A5A9D" w:rsidRPr="00042D1B" w:rsidRDefault="00154002" w:rsidP="00042D1B">
      <w:pPr>
        <w:spacing w:line="360" w:lineRule="auto"/>
        <w:ind w:firstLineChars="191" w:firstLine="565"/>
        <w:rPr>
          <w:rFonts w:ascii="仿宋_GB2312" w:eastAsia="仿宋_GB2312" w:hAnsiTheme="minorEastAsia" w:cs="宋体"/>
          <w:bCs/>
          <w:color w:val="000000"/>
          <w:spacing w:val="8"/>
          <w:kern w:val="0"/>
          <w:sz w:val="28"/>
          <w:szCs w:val="28"/>
        </w:rPr>
      </w:pPr>
      <w:r w:rsidRPr="00042D1B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本指导原则</w:t>
      </w:r>
      <w:r w:rsidR="004723BF" w:rsidRPr="00042D1B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是作为新修订的《药品注册管理办法》实施的配套文件进行起草的。</w:t>
      </w:r>
    </w:p>
    <w:p w:rsidR="004723BF" w:rsidRPr="00225ABD" w:rsidRDefault="004723BF" w:rsidP="004723BF">
      <w:pPr>
        <w:spacing w:line="360" w:lineRule="auto"/>
        <w:ind w:firstLineChars="202" w:firstLine="598"/>
        <w:rPr>
          <w:rFonts w:ascii="仿宋_GB2312" w:eastAsia="仿宋_GB2312" w:hAnsiTheme="minorEastAsia" w:cs="宋体"/>
          <w:bCs/>
          <w:color w:val="000000"/>
          <w:spacing w:val="8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新修订的</w:t>
      </w:r>
      <w:r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《药品注册管理办法》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（征求意见稿）</w:t>
      </w:r>
      <w:r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中规定，药品生产过程中的重大变更、中等变更、微小变更分别属于审批类变更、备案类变更、报告类变更。本指导原则针对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已上市</w:t>
      </w:r>
      <w:r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化学药品生产过程中的变更，列举不同变更事项下典型的重大变更、中等变更、微小变更的情形</w:t>
      </w:r>
      <w:r w:rsidR="00A22BD1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，以及需要进行的研究验证工作</w:t>
      </w:r>
      <w:r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，为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已上市</w:t>
      </w:r>
      <w:r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化学药品药学变更的研究和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管理</w:t>
      </w:r>
      <w:r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提供参考。</w:t>
      </w:r>
    </w:p>
    <w:p w:rsidR="00042D1B" w:rsidRPr="00042D1B" w:rsidRDefault="002417C7" w:rsidP="00042D1B">
      <w:pPr>
        <w:spacing w:line="360" w:lineRule="auto"/>
        <w:ind w:firstLineChars="202" w:firstLine="600"/>
        <w:rPr>
          <w:rFonts w:ascii="仿宋_GB2312" w:eastAsia="仿宋_GB2312" w:hAnsiTheme="minorEastAsia" w:cs="宋体"/>
          <w:b/>
          <w:bCs/>
          <w:color w:val="000000"/>
          <w:spacing w:val="8"/>
          <w:kern w:val="0"/>
          <w:sz w:val="28"/>
          <w:szCs w:val="28"/>
        </w:rPr>
      </w:pPr>
      <w:r w:rsidRPr="00042D1B">
        <w:rPr>
          <w:rFonts w:ascii="仿宋_GB2312" w:eastAsia="仿宋_GB2312" w:hAnsiTheme="minorEastAsia" w:cs="宋体" w:hint="eastAsia"/>
          <w:b/>
          <w:bCs/>
          <w:color w:val="000000"/>
          <w:spacing w:val="8"/>
          <w:kern w:val="0"/>
          <w:sz w:val="28"/>
          <w:szCs w:val="28"/>
        </w:rPr>
        <w:t>2、</w:t>
      </w:r>
      <w:r w:rsidR="00042D1B" w:rsidRPr="00042D1B">
        <w:rPr>
          <w:rFonts w:ascii="仿宋_GB2312" w:eastAsia="仿宋_GB2312" w:hAnsiTheme="minorEastAsia" w:cs="宋体" w:hint="eastAsia"/>
          <w:b/>
          <w:bCs/>
          <w:color w:val="000000"/>
          <w:spacing w:val="8"/>
          <w:kern w:val="0"/>
          <w:sz w:val="28"/>
          <w:szCs w:val="28"/>
        </w:rPr>
        <w:t>主要内容</w:t>
      </w:r>
    </w:p>
    <w:p w:rsidR="00A22BD1" w:rsidRDefault="002417C7" w:rsidP="002417C7">
      <w:pPr>
        <w:spacing w:line="360" w:lineRule="auto"/>
        <w:ind w:firstLineChars="202" w:firstLine="598"/>
        <w:rPr>
          <w:rFonts w:ascii="仿宋_GB2312" w:eastAsia="仿宋_GB2312" w:hAnsiTheme="minorEastAsia" w:cs="宋体"/>
          <w:bCs/>
          <w:color w:val="000000"/>
          <w:spacing w:val="8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本指导原则</w:t>
      </w:r>
      <w:r w:rsidRPr="002417C7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涵盖的变更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事项</w:t>
      </w:r>
      <w:r w:rsidRPr="002417C7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包括：制剂处方中辅料的变更、原料药和制剂生产工艺变更、生产场地变更、生产批量变更、制剂所用原料药供应商变更、注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册标准变更、包装材料和容器变更、有效期和贮藏条件变更、增加规格。</w:t>
      </w:r>
    </w:p>
    <w:p w:rsidR="002838B2" w:rsidRDefault="002417C7" w:rsidP="002838B2">
      <w:pPr>
        <w:spacing w:line="360" w:lineRule="auto"/>
        <w:ind w:firstLineChars="202" w:firstLine="598"/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这些事项</w:t>
      </w:r>
      <w:r w:rsidR="002838B2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参考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 xml:space="preserve">了2007年版 </w:t>
      </w:r>
      <w:r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《药品注册管理办法》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附件4“药品补充申请注册事项及申报资料要求”中列出的化学药药学变更事项，</w:t>
      </w:r>
      <w:r w:rsidR="002838B2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部分事项进行了合并，</w:t>
      </w:r>
      <w:r w:rsidR="002E190F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增加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批量变更</w:t>
      </w:r>
      <w:r w:rsidR="002E190F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、贮藏条件变更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。</w:t>
      </w:r>
    </w:p>
    <w:p w:rsidR="00C76D8C" w:rsidRDefault="0075045A" w:rsidP="002838B2">
      <w:pPr>
        <w:spacing w:line="360" w:lineRule="auto"/>
        <w:ind w:firstLineChars="202" w:firstLine="598"/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比较如下</w:t>
      </w:r>
      <w:r w:rsidR="00C76D8C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：</w:t>
      </w:r>
    </w:p>
    <w:p w:rsidR="002838B2" w:rsidRDefault="002838B2" w:rsidP="002838B2">
      <w:pPr>
        <w:spacing w:line="360" w:lineRule="auto"/>
        <w:ind w:firstLineChars="202" w:firstLine="598"/>
        <w:rPr>
          <w:rFonts w:ascii="仿宋_GB2312" w:eastAsia="仿宋_GB2312" w:hAnsiTheme="minorEastAsia" w:cs="宋体"/>
          <w:bCs/>
          <w:color w:val="000000"/>
          <w:spacing w:val="8"/>
          <w:kern w:val="0"/>
          <w:sz w:val="28"/>
          <w:szCs w:val="28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3652"/>
        <w:gridCol w:w="5103"/>
      </w:tblGrid>
      <w:tr w:rsidR="002838B2" w:rsidTr="002838B2">
        <w:tc>
          <w:tcPr>
            <w:tcW w:w="3652" w:type="dxa"/>
          </w:tcPr>
          <w:p w:rsidR="002838B2" w:rsidRDefault="002838B2" w:rsidP="006C18A9">
            <w:pPr>
              <w:snapToGrid w:val="0"/>
              <w:spacing w:line="288" w:lineRule="auto"/>
              <w:jc w:val="center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 w:rsidRPr="00C76D8C"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lastRenderedPageBreak/>
              <w:t>本指导原则</w:t>
            </w:r>
          </w:p>
        </w:tc>
        <w:tc>
          <w:tcPr>
            <w:tcW w:w="5103" w:type="dxa"/>
          </w:tcPr>
          <w:p w:rsidR="002838B2" w:rsidRDefault="002838B2" w:rsidP="006C18A9">
            <w:pPr>
              <w:snapToGrid w:val="0"/>
              <w:spacing w:line="288" w:lineRule="auto"/>
              <w:jc w:val="center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2007年版</w:t>
            </w:r>
            <w:r w:rsidRPr="00225ABD"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《药品注册管</w:t>
            </w:r>
            <w:r w:rsidRPr="00225ABD"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理办法》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附件4</w:t>
            </w:r>
          </w:p>
        </w:tc>
      </w:tr>
      <w:tr w:rsidR="002838B2" w:rsidTr="002838B2">
        <w:tc>
          <w:tcPr>
            <w:tcW w:w="3652" w:type="dxa"/>
          </w:tcPr>
          <w:p w:rsidR="002838B2" w:rsidRDefault="002838B2" w:rsidP="005D2444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变更原料药生产工艺</w:t>
            </w:r>
          </w:p>
          <w:p w:rsidR="002838B2" w:rsidRDefault="002838B2" w:rsidP="005D2444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变更制剂生产工艺</w:t>
            </w:r>
          </w:p>
        </w:tc>
        <w:tc>
          <w:tcPr>
            <w:tcW w:w="5103" w:type="dxa"/>
          </w:tcPr>
          <w:p w:rsidR="002838B2" w:rsidRDefault="002838B2" w:rsidP="005D2444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改变影响药品质量的生产工艺</w:t>
            </w:r>
          </w:p>
        </w:tc>
      </w:tr>
      <w:tr w:rsidR="002838B2" w:rsidTr="002838B2">
        <w:tc>
          <w:tcPr>
            <w:tcW w:w="3652" w:type="dxa"/>
          </w:tcPr>
          <w:p w:rsidR="002838B2" w:rsidRDefault="002838B2" w:rsidP="00BF69D4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变更制剂处方中的辅料</w:t>
            </w:r>
          </w:p>
        </w:tc>
        <w:tc>
          <w:tcPr>
            <w:tcW w:w="5103" w:type="dxa"/>
          </w:tcPr>
          <w:p w:rsidR="002838B2" w:rsidRDefault="002838B2" w:rsidP="00BF69D4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变更药品处方中已有</w:t>
            </w:r>
            <w:proofErr w:type="gramStart"/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药用要求</w:t>
            </w:r>
            <w:proofErr w:type="gramEnd"/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的辅料</w:t>
            </w:r>
          </w:p>
        </w:tc>
      </w:tr>
      <w:tr w:rsidR="002838B2" w:rsidTr="002838B2">
        <w:tc>
          <w:tcPr>
            <w:tcW w:w="3652" w:type="dxa"/>
            <w:vMerge w:val="restart"/>
          </w:tcPr>
          <w:p w:rsidR="002838B2" w:rsidRDefault="002838B2" w:rsidP="00B40A03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变更原料药生产场地</w:t>
            </w:r>
          </w:p>
          <w:p w:rsidR="002838B2" w:rsidRDefault="002838B2" w:rsidP="00B40A03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变更制剂生产场地</w:t>
            </w:r>
          </w:p>
        </w:tc>
        <w:tc>
          <w:tcPr>
            <w:tcW w:w="5103" w:type="dxa"/>
          </w:tcPr>
          <w:p w:rsidR="002838B2" w:rsidRDefault="002838B2" w:rsidP="002E190F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改变进口药品的产地</w:t>
            </w:r>
          </w:p>
        </w:tc>
      </w:tr>
      <w:tr w:rsidR="002838B2" w:rsidTr="002838B2">
        <w:tc>
          <w:tcPr>
            <w:tcW w:w="3652" w:type="dxa"/>
            <w:vMerge/>
          </w:tcPr>
          <w:p w:rsidR="002838B2" w:rsidRDefault="002838B2" w:rsidP="002E190F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38B2" w:rsidRDefault="002838B2" w:rsidP="002E190F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技术转让</w:t>
            </w:r>
          </w:p>
        </w:tc>
      </w:tr>
      <w:tr w:rsidR="002838B2" w:rsidTr="002838B2">
        <w:tc>
          <w:tcPr>
            <w:tcW w:w="3652" w:type="dxa"/>
            <w:vMerge/>
          </w:tcPr>
          <w:p w:rsidR="002838B2" w:rsidRDefault="002838B2" w:rsidP="002E190F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38B2" w:rsidRDefault="002838B2" w:rsidP="002E190F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国内药品生产企业内部改变药品生产场地</w:t>
            </w:r>
          </w:p>
        </w:tc>
      </w:tr>
      <w:tr w:rsidR="002838B2" w:rsidTr="002838B2">
        <w:tc>
          <w:tcPr>
            <w:tcW w:w="3652" w:type="dxa"/>
            <w:vMerge w:val="restart"/>
          </w:tcPr>
          <w:p w:rsidR="002838B2" w:rsidRPr="002E190F" w:rsidRDefault="002838B2" w:rsidP="006C18A9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 w:rsidRPr="002E190F"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变更制剂所用原料药的供应商</w:t>
            </w:r>
          </w:p>
        </w:tc>
        <w:tc>
          <w:tcPr>
            <w:tcW w:w="5103" w:type="dxa"/>
          </w:tcPr>
          <w:p w:rsidR="002838B2" w:rsidRDefault="002838B2" w:rsidP="00853D38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改变国内生产药品制剂的原料药产地</w:t>
            </w:r>
          </w:p>
        </w:tc>
      </w:tr>
      <w:tr w:rsidR="002838B2" w:rsidTr="002838B2">
        <w:tc>
          <w:tcPr>
            <w:tcW w:w="3652" w:type="dxa"/>
            <w:vMerge/>
          </w:tcPr>
          <w:p w:rsidR="002838B2" w:rsidRDefault="002838B2" w:rsidP="00853D38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38B2" w:rsidRDefault="002838B2" w:rsidP="00853D38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改变进口药品制剂所用原料药的产地</w:t>
            </w:r>
          </w:p>
        </w:tc>
      </w:tr>
      <w:tr w:rsidR="002838B2" w:rsidTr="002838B2">
        <w:tc>
          <w:tcPr>
            <w:tcW w:w="3652" w:type="dxa"/>
          </w:tcPr>
          <w:p w:rsidR="002838B2" w:rsidRDefault="002838B2" w:rsidP="006C18A9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 w:rsidRPr="0075045A"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变更生产批量</w:t>
            </w:r>
          </w:p>
        </w:tc>
        <w:tc>
          <w:tcPr>
            <w:tcW w:w="5103" w:type="dxa"/>
          </w:tcPr>
          <w:p w:rsidR="002838B2" w:rsidRDefault="002838B2" w:rsidP="005F7F7D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——</w:t>
            </w:r>
          </w:p>
        </w:tc>
      </w:tr>
      <w:tr w:rsidR="002838B2" w:rsidTr="002838B2">
        <w:tc>
          <w:tcPr>
            <w:tcW w:w="3652" w:type="dxa"/>
          </w:tcPr>
          <w:p w:rsidR="002838B2" w:rsidRDefault="002838B2" w:rsidP="0053717B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变更注册标准</w:t>
            </w:r>
          </w:p>
        </w:tc>
        <w:tc>
          <w:tcPr>
            <w:tcW w:w="5103" w:type="dxa"/>
          </w:tcPr>
          <w:p w:rsidR="002838B2" w:rsidRDefault="002838B2" w:rsidP="0053717B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修改药品注册标准</w:t>
            </w:r>
          </w:p>
        </w:tc>
      </w:tr>
      <w:tr w:rsidR="002838B2" w:rsidTr="002838B2">
        <w:tc>
          <w:tcPr>
            <w:tcW w:w="3652" w:type="dxa"/>
          </w:tcPr>
          <w:p w:rsidR="002838B2" w:rsidRDefault="002838B2" w:rsidP="0053717B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 w:rsidRPr="0075045A"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变更包装材料和容器</w:t>
            </w:r>
          </w:p>
        </w:tc>
        <w:tc>
          <w:tcPr>
            <w:tcW w:w="5103" w:type="dxa"/>
          </w:tcPr>
          <w:p w:rsidR="002838B2" w:rsidRDefault="002838B2" w:rsidP="0053717B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变更直接接触药品的包装材料或者</w:t>
            </w:r>
            <w:bookmarkStart w:id="0" w:name="_GoBack"/>
            <w:bookmarkEnd w:id="0"/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容器</w:t>
            </w:r>
          </w:p>
        </w:tc>
      </w:tr>
      <w:tr w:rsidR="002838B2" w:rsidTr="002838B2">
        <w:tc>
          <w:tcPr>
            <w:tcW w:w="3652" w:type="dxa"/>
          </w:tcPr>
          <w:p w:rsidR="002838B2" w:rsidRDefault="002838B2" w:rsidP="006C18A9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 w:rsidRPr="0075045A"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变更有效期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和</w:t>
            </w:r>
            <w:r w:rsidRPr="0075045A"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贮藏条件</w:t>
            </w:r>
          </w:p>
        </w:tc>
        <w:tc>
          <w:tcPr>
            <w:tcW w:w="5103" w:type="dxa"/>
          </w:tcPr>
          <w:p w:rsidR="002838B2" w:rsidRDefault="002838B2" w:rsidP="0053717B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改变国内生产药品的有效期</w:t>
            </w:r>
          </w:p>
          <w:p w:rsidR="002838B2" w:rsidRDefault="002838B2" w:rsidP="0053717B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改变进口药品有效期</w:t>
            </w:r>
          </w:p>
        </w:tc>
      </w:tr>
      <w:tr w:rsidR="002838B2" w:rsidTr="002838B2">
        <w:tc>
          <w:tcPr>
            <w:tcW w:w="3652" w:type="dxa"/>
          </w:tcPr>
          <w:p w:rsidR="002838B2" w:rsidRDefault="002838B2" w:rsidP="0053717B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 w:rsidRPr="0075045A"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增加规格</w:t>
            </w:r>
          </w:p>
        </w:tc>
        <w:tc>
          <w:tcPr>
            <w:tcW w:w="5103" w:type="dxa"/>
          </w:tcPr>
          <w:p w:rsidR="002838B2" w:rsidRDefault="002838B2" w:rsidP="0053717B">
            <w:pPr>
              <w:snapToGrid w:val="0"/>
              <w:spacing w:line="288" w:lineRule="auto"/>
              <w:rPr>
                <w:rFonts w:ascii="仿宋_GB2312" w:eastAsia="仿宋_GB2312" w:hAnsiTheme="minorEastAsia" w:cs="宋体"/>
                <w:bCs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spacing w:val="8"/>
                <w:kern w:val="0"/>
                <w:sz w:val="28"/>
                <w:szCs w:val="28"/>
              </w:rPr>
              <w:t>变更药品规格</w:t>
            </w:r>
          </w:p>
        </w:tc>
      </w:tr>
    </w:tbl>
    <w:p w:rsidR="00C76D8C" w:rsidRDefault="00C76D8C" w:rsidP="00853D38">
      <w:pPr>
        <w:snapToGrid w:val="0"/>
        <w:spacing w:line="288" w:lineRule="auto"/>
        <w:ind w:firstLineChars="202" w:firstLine="598"/>
        <w:rPr>
          <w:rFonts w:ascii="仿宋_GB2312" w:eastAsia="仿宋_GB2312" w:hAnsiTheme="minorEastAsia" w:cs="宋体"/>
          <w:bCs/>
          <w:color w:val="000000"/>
          <w:spacing w:val="8"/>
          <w:kern w:val="0"/>
          <w:sz w:val="28"/>
          <w:szCs w:val="28"/>
        </w:rPr>
      </w:pPr>
    </w:p>
    <w:p w:rsidR="00042D1B" w:rsidRPr="00B47007" w:rsidRDefault="00042D1B" w:rsidP="00B47007">
      <w:pPr>
        <w:spacing w:line="360" w:lineRule="auto"/>
        <w:ind w:firstLineChars="202" w:firstLine="600"/>
        <w:rPr>
          <w:rFonts w:ascii="仿宋_GB2312" w:eastAsia="仿宋_GB2312" w:hAnsiTheme="minorEastAsia" w:cs="宋体"/>
          <w:b/>
          <w:bCs/>
          <w:color w:val="000000"/>
          <w:spacing w:val="8"/>
          <w:kern w:val="0"/>
          <w:sz w:val="28"/>
          <w:szCs w:val="28"/>
        </w:rPr>
      </w:pPr>
      <w:r w:rsidRPr="00B47007">
        <w:rPr>
          <w:rFonts w:ascii="仿宋_GB2312" w:eastAsia="仿宋_GB2312" w:hAnsiTheme="minorEastAsia" w:cs="宋体" w:hint="eastAsia"/>
          <w:b/>
          <w:bCs/>
          <w:color w:val="000000"/>
          <w:spacing w:val="8"/>
          <w:kern w:val="0"/>
          <w:sz w:val="28"/>
          <w:szCs w:val="28"/>
        </w:rPr>
        <w:t>3</w:t>
      </w:r>
      <w:r w:rsidR="001F1312" w:rsidRPr="00B47007">
        <w:rPr>
          <w:rFonts w:ascii="仿宋_GB2312" w:eastAsia="仿宋_GB2312" w:hAnsiTheme="minorEastAsia" w:cs="宋体" w:hint="eastAsia"/>
          <w:b/>
          <w:bCs/>
          <w:color w:val="000000"/>
          <w:spacing w:val="8"/>
          <w:kern w:val="0"/>
          <w:sz w:val="28"/>
          <w:szCs w:val="28"/>
        </w:rPr>
        <w:t>、</w:t>
      </w:r>
      <w:r w:rsidR="00B47007" w:rsidRPr="00B47007">
        <w:rPr>
          <w:rFonts w:ascii="仿宋_GB2312" w:eastAsia="仿宋_GB2312" w:hAnsiTheme="minorEastAsia" w:cs="宋体" w:hint="eastAsia"/>
          <w:b/>
          <w:bCs/>
          <w:color w:val="000000"/>
          <w:spacing w:val="8"/>
          <w:kern w:val="0"/>
          <w:sz w:val="28"/>
          <w:szCs w:val="28"/>
        </w:rPr>
        <w:t>参考文献</w:t>
      </w:r>
    </w:p>
    <w:p w:rsidR="001F1312" w:rsidRDefault="001F1312" w:rsidP="001F1312">
      <w:pPr>
        <w:spacing w:line="360" w:lineRule="auto"/>
        <w:ind w:firstLineChars="202" w:firstLine="598"/>
        <w:rPr>
          <w:rFonts w:ascii="仿宋_GB2312" w:eastAsia="仿宋_GB2312" w:hAnsiTheme="minorEastAsia" w:cs="宋体"/>
          <w:bCs/>
          <w:color w:val="000000"/>
          <w:spacing w:val="8"/>
          <w:kern w:val="0"/>
          <w:sz w:val="28"/>
          <w:szCs w:val="28"/>
        </w:rPr>
      </w:pPr>
      <w:r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本指导原则是在我国已发布的《已上市化学药品变更研究的技术指导原则(一)》、《已上市化学药品生产工艺变更研究技术指导原则》基础上，参考FDA、EMA、ICH相关指导原则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，并</w:t>
      </w:r>
      <w:r w:rsidRPr="002417C7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结合国内研发与生产现状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进行</w:t>
      </w:r>
      <w:r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撰写。</w:t>
      </w:r>
    </w:p>
    <w:p w:rsidR="00042D1B" w:rsidRPr="00B47007" w:rsidRDefault="00042D1B" w:rsidP="00B47007">
      <w:pPr>
        <w:spacing w:line="360" w:lineRule="auto"/>
        <w:ind w:firstLineChars="202" w:firstLine="600"/>
        <w:rPr>
          <w:rFonts w:ascii="仿宋_GB2312" w:eastAsia="仿宋_GB2312" w:hAnsiTheme="minorEastAsia" w:cs="宋体"/>
          <w:b/>
          <w:bCs/>
          <w:color w:val="000000"/>
          <w:spacing w:val="8"/>
          <w:kern w:val="0"/>
          <w:sz w:val="28"/>
          <w:szCs w:val="28"/>
        </w:rPr>
      </w:pPr>
      <w:r w:rsidRPr="00B47007">
        <w:rPr>
          <w:rFonts w:ascii="仿宋_GB2312" w:eastAsia="仿宋_GB2312" w:hAnsiTheme="minorEastAsia" w:cs="宋体" w:hint="eastAsia"/>
          <w:b/>
          <w:bCs/>
          <w:color w:val="000000"/>
          <w:spacing w:val="8"/>
          <w:kern w:val="0"/>
          <w:sz w:val="28"/>
          <w:szCs w:val="28"/>
        </w:rPr>
        <w:t>4、与ICH Q12 的衔接</w:t>
      </w:r>
    </w:p>
    <w:p w:rsidR="00042D1B" w:rsidRDefault="00042D1B" w:rsidP="00042D1B">
      <w:pPr>
        <w:spacing w:line="360" w:lineRule="auto"/>
        <w:ind w:firstLineChars="202" w:firstLine="598"/>
        <w:rPr>
          <w:rFonts w:ascii="仿宋_GB2312" w:eastAsia="仿宋_GB2312" w:hAnsiTheme="minorEastAsia" w:cs="宋体"/>
          <w:bCs/>
          <w:color w:val="000000"/>
          <w:spacing w:val="8"/>
          <w:kern w:val="0"/>
          <w:sz w:val="28"/>
          <w:szCs w:val="28"/>
        </w:rPr>
      </w:pPr>
      <w:r w:rsidRPr="00042D1B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药品上市后变更管理属于全生命周期管理的一部分。</w:t>
      </w: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为将来能够与ICH Q12实施相衔接，本指导原则在概述中写明，</w:t>
      </w:r>
      <w:r w:rsidRPr="00042D1B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持有人可以参考本指导原则对变更进行分类，也可以在对产品及工艺不</w:t>
      </w:r>
      <w:r w:rsidRPr="00042D1B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lastRenderedPageBreak/>
        <w:t>断深入理解的基础上，通过各种变更管理工具的运用，对变更进行分类和管理。</w:t>
      </w:r>
    </w:p>
    <w:p w:rsidR="00B47007" w:rsidRPr="00B47007" w:rsidRDefault="00B47007" w:rsidP="00B47007">
      <w:pPr>
        <w:spacing w:line="360" w:lineRule="auto"/>
        <w:ind w:firstLineChars="202" w:firstLine="600"/>
        <w:rPr>
          <w:rFonts w:ascii="仿宋_GB2312" w:eastAsia="仿宋_GB2312" w:hAnsi="宋体" w:cs="宋体"/>
          <w:b/>
          <w:bCs/>
          <w:color w:val="000000"/>
          <w:spacing w:val="8"/>
          <w:kern w:val="0"/>
          <w:sz w:val="28"/>
          <w:szCs w:val="28"/>
        </w:rPr>
      </w:pPr>
      <w:r w:rsidRPr="00B47007">
        <w:rPr>
          <w:rFonts w:ascii="仿宋_GB2312" w:eastAsia="仿宋_GB2312" w:hAnsiTheme="minorEastAsia" w:cs="宋体" w:hint="eastAsia"/>
          <w:b/>
          <w:bCs/>
          <w:color w:val="000000"/>
          <w:spacing w:val="8"/>
          <w:kern w:val="0"/>
          <w:sz w:val="28"/>
          <w:szCs w:val="28"/>
        </w:rPr>
        <w:t>5、</w:t>
      </w:r>
      <w:r w:rsidRPr="00B47007">
        <w:rPr>
          <w:rFonts w:ascii="仿宋_GB2312" w:eastAsia="仿宋_GB2312" w:hAnsi="宋体" w:cs="宋体" w:hint="eastAsia"/>
          <w:b/>
          <w:bCs/>
          <w:color w:val="000000"/>
          <w:spacing w:val="8"/>
          <w:kern w:val="0"/>
          <w:sz w:val="28"/>
          <w:szCs w:val="28"/>
        </w:rPr>
        <w:t>其他</w:t>
      </w:r>
    </w:p>
    <w:p w:rsidR="00853D38" w:rsidRDefault="00B47007" w:rsidP="00B47007">
      <w:pPr>
        <w:spacing w:line="360" w:lineRule="auto"/>
        <w:ind w:firstLineChars="202" w:firstLine="598"/>
        <w:rPr>
          <w:rFonts w:ascii="仿宋_GB2312" w:eastAsia="仿宋_GB2312" w:hAnsi="宋体" w:cs="宋体"/>
          <w:bCs/>
          <w:color w:val="000000"/>
          <w:spacing w:val="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（1）</w:t>
      </w:r>
      <w:r w:rsid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本指导原则提出</w:t>
      </w:r>
      <w:r w:rsidR="00853D38" w:rsidRPr="00A22BD1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普通口服固体制剂、口服缓释/控释制剂和肠溶制剂</w:t>
      </w:r>
      <w:r w:rsid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处方变更中的</w:t>
      </w:r>
      <w:r w:rsidR="00853D38" w:rsidRPr="00A22BD1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中等变更</w:t>
      </w:r>
      <w:r w:rsid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，</w:t>
      </w:r>
      <w:r w:rsidR="00853D38" w:rsidRPr="00A22BD1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均应按照审批类变更提出补充申请。</w:t>
      </w:r>
      <w:r w:rsid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这主要是参考了FDA对处方变更管理要求。</w:t>
      </w:r>
    </w:p>
    <w:p w:rsidR="00853D38" w:rsidRPr="00D06EBC" w:rsidRDefault="00B47007" w:rsidP="00B47007">
      <w:pPr>
        <w:spacing w:line="360" w:lineRule="auto"/>
        <w:ind w:firstLineChars="202" w:firstLine="598"/>
        <w:rPr>
          <w:rFonts w:ascii="仿宋_GB2312" w:eastAsia="仿宋_GB2312" w:hAnsi="宋体" w:cs="宋体"/>
          <w:bCs/>
          <w:color w:val="000000"/>
          <w:spacing w:val="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（2）</w:t>
      </w:r>
      <w:r w:rsidR="00853D38" w:rsidRP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本指导原则的增加规格，仅</w:t>
      </w:r>
      <w:r w:rsidR="002838B2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涉及</w:t>
      </w:r>
      <w:r w:rsidR="00853D38" w:rsidRP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增加目前原</w:t>
      </w:r>
      <w:proofErr w:type="gramStart"/>
      <w:r w:rsidR="00853D38" w:rsidRP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研</w:t>
      </w:r>
      <w:proofErr w:type="gramEnd"/>
      <w:r w:rsidR="00853D38" w:rsidRP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药品/参比制剂已有的药品规格，</w:t>
      </w:r>
      <w:r w:rsid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且不得改变药品原批准的适应症、用法用量或者适用人群等。</w:t>
      </w:r>
      <w:r w:rsidR="00853D38" w:rsidRPr="00D06EBC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超出</w:t>
      </w:r>
      <w:r w:rsid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上述范畴的</w:t>
      </w:r>
      <w:r w:rsidR="00853D38" w:rsidRPr="00225ABD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增加</w:t>
      </w:r>
      <w:r w:rsidR="00853D38" w:rsidRPr="00D06EBC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药品规格，可能需要按照新药研究思路去开展相应的研究工作，不属于本指导原则讨论范围。</w:t>
      </w:r>
    </w:p>
    <w:p w:rsidR="00853D38" w:rsidRDefault="00B47007" w:rsidP="00853D38">
      <w:pPr>
        <w:spacing w:line="360" w:lineRule="auto"/>
        <w:ind w:firstLineChars="202" w:firstLine="598"/>
        <w:rPr>
          <w:rFonts w:ascii="仿宋_GB2312" w:eastAsia="仿宋_GB2312" w:hAnsiTheme="minorEastAsia" w:cs="宋体"/>
          <w:bCs/>
          <w:color w:val="000000"/>
          <w:spacing w:val="8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（3）</w:t>
      </w:r>
      <w:r w:rsidR="00853D38"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如</w:t>
      </w:r>
      <w:r w:rsidR="00853D38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果已上市药品</w:t>
      </w:r>
      <w:r w:rsidR="002B4830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的</w:t>
      </w:r>
      <w:r w:rsidR="002838B2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药学</w:t>
      </w:r>
      <w:r w:rsidR="00853D38"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变更导致变更前后的产品临床</w:t>
      </w:r>
      <w:proofErr w:type="gramStart"/>
      <w:r w:rsidR="00853D38"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不</w:t>
      </w:r>
      <w:proofErr w:type="gramEnd"/>
      <w:r w:rsidR="00853D38"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等效（包括BE</w:t>
      </w:r>
      <w:proofErr w:type="gramStart"/>
      <w:r w:rsidR="00853D38"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不</w:t>
      </w:r>
      <w:proofErr w:type="gramEnd"/>
      <w:r w:rsidR="00853D38"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等效），</w:t>
      </w:r>
      <w:r w:rsidR="00853D38" w:rsidRPr="00D06EBC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可能</w:t>
      </w:r>
      <w:r w:rsidR="00853D38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也</w:t>
      </w:r>
      <w:r w:rsidR="00853D38" w:rsidRPr="00D06EBC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28"/>
          <w:szCs w:val="28"/>
        </w:rPr>
        <w:t>需要按照新药研究思路去开展相应的研究工作，</w:t>
      </w:r>
      <w:r w:rsidR="00853D38"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不属于本指导原则</w:t>
      </w:r>
      <w:r w:rsidR="00853D38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讨论</w:t>
      </w:r>
      <w:r w:rsidR="00853D38" w:rsidRPr="00225ABD">
        <w:rPr>
          <w:rFonts w:ascii="仿宋_GB2312" w:eastAsia="仿宋_GB2312" w:hAnsiTheme="minorEastAsia" w:cs="宋体" w:hint="eastAsia"/>
          <w:bCs/>
          <w:color w:val="000000"/>
          <w:spacing w:val="8"/>
          <w:kern w:val="0"/>
          <w:sz w:val="28"/>
          <w:szCs w:val="28"/>
        </w:rPr>
        <w:t>范围。</w:t>
      </w:r>
    </w:p>
    <w:p w:rsidR="00D06EBC" w:rsidRPr="00225ABD" w:rsidRDefault="00D06EBC" w:rsidP="00225ABD">
      <w:pPr>
        <w:spacing w:line="360" w:lineRule="auto"/>
        <w:ind w:firstLineChars="202" w:firstLine="424"/>
        <w:rPr>
          <w:rFonts w:ascii="仿宋_GB2312" w:eastAsia="仿宋_GB2312" w:hAnsiTheme="minorEastAsia"/>
        </w:rPr>
      </w:pPr>
    </w:p>
    <w:sectPr w:rsidR="00D06EBC" w:rsidRPr="0022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4A" w:rsidRDefault="006B7F4A" w:rsidP="00D06EBC">
      <w:r>
        <w:separator/>
      </w:r>
    </w:p>
  </w:endnote>
  <w:endnote w:type="continuationSeparator" w:id="0">
    <w:p w:rsidR="006B7F4A" w:rsidRDefault="006B7F4A" w:rsidP="00D0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4A" w:rsidRDefault="006B7F4A" w:rsidP="00D06EBC">
      <w:r>
        <w:separator/>
      </w:r>
    </w:p>
  </w:footnote>
  <w:footnote w:type="continuationSeparator" w:id="0">
    <w:p w:rsidR="006B7F4A" w:rsidRDefault="006B7F4A" w:rsidP="00D0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61F4"/>
    <w:multiLevelType w:val="hybridMultilevel"/>
    <w:tmpl w:val="44F6F5B0"/>
    <w:lvl w:ilvl="0" w:tplc="AA16A660">
      <w:start w:val="1"/>
      <w:numFmt w:val="decimal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1">
    <w:nsid w:val="724C2F28"/>
    <w:multiLevelType w:val="hybridMultilevel"/>
    <w:tmpl w:val="DE32A7E6"/>
    <w:lvl w:ilvl="0" w:tplc="42343C1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94"/>
    <w:rsid w:val="00042D1B"/>
    <w:rsid w:val="00154002"/>
    <w:rsid w:val="001E7857"/>
    <w:rsid w:val="001F1312"/>
    <w:rsid w:val="00225ABD"/>
    <w:rsid w:val="002417C7"/>
    <w:rsid w:val="00280C67"/>
    <w:rsid w:val="002838B2"/>
    <w:rsid w:val="002B4830"/>
    <w:rsid w:val="002E0597"/>
    <w:rsid w:val="002E190F"/>
    <w:rsid w:val="00355B4F"/>
    <w:rsid w:val="004723BF"/>
    <w:rsid w:val="0053742C"/>
    <w:rsid w:val="005A64FB"/>
    <w:rsid w:val="005F33F1"/>
    <w:rsid w:val="00624CDD"/>
    <w:rsid w:val="00655E1B"/>
    <w:rsid w:val="006B7F4A"/>
    <w:rsid w:val="006C18A9"/>
    <w:rsid w:val="00724642"/>
    <w:rsid w:val="0075045A"/>
    <w:rsid w:val="007D103B"/>
    <w:rsid w:val="00853D38"/>
    <w:rsid w:val="008A1294"/>
    <w:rsid w:val="008D190E"/>
    <w:rsid w:val="009651BC"/>
    <w:rsid w:val="00966668"/>
    <w:rsid w:val="009A5A9D"/>
    <w:rsid w:val="009E054B"/>
    <w:rsid w:val="009F7921"/>
    <w:rsid w:val="00A22BD1"/>
    <w:rsid w:val="00A60300"/>
    <w:rsid w:val="00B12A44"/>
    <w:rsid w:val="00B47007"/>
    <w:rsid w:val="00C76D8C"/>
    <w:rsid w:val="00D06EBC"/>
    <w:rsid w:val="00F6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0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6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6EBC"/>
    <w:rPr>
      <w:sz w:val="18"/>
      <w:szCs w:val="18"/>
    </w:rPr>
  </w:style>
  <w:style w:type="table" w:styleId="a6">
    <w:name w:val="Table Grid"/>
    <w:basedOn w:val="a1"/>
    <w:uiPriority w:val="39"/>
    <w:rsid w:val="00C7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0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6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6EBC"/>
    <w:rPr>
      <w:sz w:val="18"/>
      <w:szCs w:val="18"/>
    </w:rPr>
  </w:style>
  <w:style w:type="table" w:styleId="a6">
    <w:name w:val="Table Grid"/>
    <w:basedOn w:val="a1"/>
    <w:uiPriority w:val="39"/>
    <w:rsid w:val="00C7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3</cp:revision>
  <dcterms:created xsi:type="dcterms:W3CDTF">2019-11-08T06:09:00Z</dcterms:created>
  <dcterms:modified xsi:type="dcterms:W3CDTF">2019-11-08T06:18:00Z</dcterms:modified>
</cp:coreProperties>
</file>